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7C5B0D" w14:paraId="67787F01" w14:textId="77777777" w:rsidTr="007C5B0D">
        <w:tc>
          <w:tcPr>
            <w:tcW w:w="3116" w:type="dxa"/>
          </w:tcPr>
          <w:p w14:paraId="5414E4D2" w14:textId="4C96EB6E" w:rsidR="007C5B0D" w:rsidRPr="007C5B0D" w:rsidRDefault="007C5B0D" w:rsidP="007C5B0D">
            <w:pPr>
              <w:jc w:val="center"/>
              <w:rPr>
                <w:b/>
                <w:sz w:val="28"/>
                <w:szCs w:val="28"/>
              </w:rPr>
            </w:pPr>
            <w:bookmarkStart w:id="0" w:name="_GoBack"/>
            <w:bookmarkEnd w:id="0"/>
            <w:r w:rsidRPr="007C5B0D">
              <w:rPr>
                <w:b/>
                <w:sz w:val="28"/>
                <w:szCs w:val="28"/>
              </w:rPr>
              <w:t>Fluorochrome</w:t>
            </w:r>
          </w:p>
        </w:tc>
        <w:tc>
          <w:tcPr>
            <w:tcW w:w="3117" w:type="dxa"/>
          </w:tcPr>
          <w:p w14:paraId="409B2AC6" w14:textId="45841D7D" w:rsidR="007C5B0D" w:rsidRPr="007C5B0D" w:rsidRDefault="007C5B0D" w:rsidP="007C5B0D">
            <w:pPr>
              <w:jc w:val="center"/>
              <w:rPr>
                <w:b/>
                <w:sz w:val="28"/>
                <w:szCs w:val="28"/>
              </w:rPr>
            </w:pPr>
            <w:r w:rsidRPr="007C5B0D">
              <w:rPr>
                <w:b/>
                <w:sz w:val="28"/>
                <w:szCs w:val="28"/>
              </w:rPr>
              <w:t>Antibody</w:t>
            </w:r>
          </w:p>
        </w:tc>
        <w:tc>
          <w:tcPr>
            <w:tcW w:w="3117" w:type="dxa"/>
          </w:tcPr>
          <w:p w14:paraId="1BC4C9A5" w14:textId="54D2CB5A" w:rsidR="007C5B0D" w:rsidRPr="007C5B0D" w:rsidRDefault="007C5B0D" w:rsidP="007C5B0D">
            <w:pPr>
              <w:jc w:val="center"/>
              <w:rPr>
                <w:b/>
                <w:sz w:val="28"/>
                <w:szCs w:val="28"/>
              </w:rPr>
            </w:pPr>
            <w:r w:rsidRPr="007C5B0D">
              <w:rPr>
                <w:b/>
                <w:sz w:val="28"/>
                <w:szCs w:val="28"/>
              </w:rPr>
              <w:t>Function</w:t>
            </w:r>
          </w:p>
        </w:tc>
      </w:tr>
      <w:tr w:rsidR="007C5B0D" w14:paraId="74201B0B" w14:textId="77777777" w:rsidTr="007C5B0D">
        <w:tc>
          <w:tcPr>
            <w:tcW w:w="3116" w:type="dxa"/>
            <w:shd w:val="clear" w:color="auto" w:fill="ACCBF9" w:themeFill="background2"/>
          </w:tcPr>
          <w:p w14:paraId="14AD2ED2" w14:textId="0D7D5BED" w:rsidR="007C5B0D" w:rsidRPr="007C5B0D" w:rsidRDefault="007C5B0D">
            <w:pPr>
              <w:rPr>
                <w:sz w:val="22"/>
                <w:szCs w:val="22"/>
              </w:rPr>
            </w:pPr>
            <w:r w:rsidRPr="007C5B0D">
              <w:rPr>
                <w:sz w:val="22"/>
                <w:szCs w:val="22"/>
              </w:rPr>
              <w:t>PE</w:t>
            </w:r>
          </w:p>
        </w:tc>
        <w:tc>
          <w:tcPr>
            <w:tcW w:w="3117" w:type="dxa"/>
            <w:shd w:val="clear" w:color="auto" w:fill="ACCBF9" w:themeFill="background2"/>
          </w:tcPr>
          <w:p w14:paraId="52E9DF84" w14:textId="5FF096B0" w:rsidR="007C5B0D" w:rsidRPr="007C5B0D" w:rsidRDefault="007C5B0D">
            <w:pPr>
              <w:rPr>
                <w:sz w:val="22"/>
                <w:szCs w:val="22"/>
              </w:rPr>
            </w:pPr>
            <w:r w:rsidRPr="007C5B0D">
              <w:rPr>
                <w:sz w:val="22"/>
                <w:szCs w:val="22"/>
              </w:rPr>
              <w:t>CD14</w:t>
            </w:r>
          </w:p>
        </w:tc>
        <w:tc>
          <w:tcPr>
            <w:tcW w:w="3117" w:type="dxa"/>
            <w:shd w:val="clear" w:color="auto" w:fill="ACCBF9" w:themeFill="background2"/>
          </w:tcPr>
          <w:p w14:paraId="7130B1C1" w14:textId="211E49BF" w:rsidR="007C5B0D" w:rsidRPr="007C5B0D" w:rsidRDefault="007C5B0D">
            <w:pPr>
              <w:rPr>
                <w:sz w:val="22"/>
                <w:szCs w:val="22"/>
              </w:rPr>
            </w:pPr>
            <w:r w:rsidRPr="007C5B0D">
              <w:rPr>
                <w:sz w:val="22"/>
                <w:szCs w:val="22"/>
              </w:rPr>
              <w:t xml:space="preserve">Classical Monocytes </w:t>
            </w:r>
          </w:p>
        </w:tc>
      </w:tr>
      <w:tr w:rsidR="007C5B0D" w14:paraId="4C1189D8" w14:textId="77777777" w:rsidTr="007C5B0D">
        <w:tc>
          <w:tcPr>
            <w:tcW w:w="3116" w:type="dxa"/>
          </w:tcPr>
          <w:p w14:paraId="0EBA5E6C" w14:textId="193F2A96" w:rsidR="007C5B0D" w:rsidRPr="007C5B0D" w:rsidRDefault="007C5B0D">
            <w:pPr>
              <w:rPr>
                <w:color w:val="000000" w:themeColor="text1"/>
                <w:sz w:val="22"/>
                <w:szCs w:val="22"/>
              </w:rPr>
            </w:pPr>
            <w:r w:rsidRPr="007C5B0D">
              <w:rPr>
                <w:color w:val="000000" w:themeColor="text1"/>
                <w:sz w:val="22"/>
                <w:szCs w:val="22"/>
              </w:rPr>
              <w:t>FITC</w:t>
            </w:r>
          </w:p>
        </w:tc>
        <w:tc>
          <w:tcPr>
            <w:tcW w:w="3117" w:type="dxa"/>
          </w:tcPr>
          <w:p w14:paraId="1EC51E97" w14:textId="40EEF423" w:rsidR="007C5B0D" w:rsidRPr="007C5B0D" w:rsidRDefault="007C5B0D">
            <w:pPr>
              <w:rPr>
                <w:color w:val="000000" w:themeColor="text1"/>
                <w:sz w:val="22"/>
                <w:szCs w:val="22"/>
              </w:rPr>
            </w:pPr>
            <w:r w:rsidRPr="007C5B0D">
              <w:rPr>
                <w:color w:val="000000" w:themeColor="text1"/>
                <w:sz w:val="22"/>
                <w:szCs w:val="22"/>
              </w:rPr>
              <w:t>CD16</w:t>
            </w:r>
          </w:p>
        </w:tc>
        <w:tc>
          <w:tcPr>
            <w:tcW w:w="3117" w:type="dxa"/>
          </w:tcPr>
          <w:p w14:paraId="0B335A08" w14:textId="5414429E" w:rsidR="007C5B0D" w:rsidRPr="007C5B0D" w:rsidRDefault="007C5B0D">
            <w:pPr>
              <w:rPr>
                <w:color w:val="000000" w:themeColor="text1"/>
                <w:sz w:val="22"/>
                <w:szCs w:val="22"/>
              </w:rPr>
            </w:pPr>
            <w:r w:rsidRPr="007C5B0D">
              <w:rPr>
                <w:color w:val="000000" w:themeColor="text1"/>
                <w:sz w:val="22"/>
                <w:szCs w:val="22"/>
              </w:rPr>
              <w:t xml:space="preserve">Natural Killer cells, monocytes/macrophages </w:t>
            </w:r>
          </w:p>
        </w:tc>
      </w:tr>
      <w:tr w:rsidR="007C5B0D" w14:paraId="365DEF1F" w14:textId="77777777" w:rsidTr="007C5B0D">
        <w:tc>
          <w:tcPr>
            <w:tcW w:w="3116" w:type="dxa"/>
            <w:shd w:val="clear" w:color="auto" w:fill="ACCBF9" w:themeFill="background2"/>
          </w:tcPr>
          <w:p w14:paraId="57E2125D" w14:textId="13C6687B" w:rsidR="007C5B0D" w:rsidRPr="007C5B0D" w:rsidRDefault="007C5B0D">
            <w:pPr>
              <w:rPr>
                <w:sz w:val="22"/>
                <w:szCs w:val="22"/>
              </w:rPr>
            </w:pPr>
            <w:r w:rsidRPr="007C5B0D">
              <w:rPr>
                <w:sz w:val="22"/>
                <w:szCs w:val="22"/>
              </w:rPr>
              <w:t>Alexa700</w:t>
            </w:r>
          </w:p>
        </w:tc>
        <w:tc>
          <w:tcPr>
            <w:tcW w:w="3117" w:type="dxa"/>
            <w:shd w:val="clear" w:color="auto" w:fill="ACCBF9" w:themeFill="background2"/>
          </w:tcPr>
          <w:p w14:paraId="16E74D09" w14:textId="1A3EE696" w:rsidR="007C5B0D" w:rsidRPr="007C5B0D" w:rsidRDefault="007C5B0D">
            <w:pPr>
              <w:rPr>
                <w:sz w:val="22"/>
                <w:szCs w:val="22"/>
              </w:rPr>
            </w:pPr>
            <w:r w:rsidRPr="007C5B0D">
              <w:rPr>
                <w:sz w:val="22"/>
                <w:szCs w:val="22"/>
              </w:rPr>
              <w:t>CD45</w:t>
            </w:r>
          </w:p>
        </w:tc>
        <w:tc>
          <w:tcPr>
            <w:tcW w:w="3117" w:type="dxa"/>
            <w:shd w:val="clear" w:color="auto" w:fill="ACCBF9" w:themeFill="background2"/>
          </w:tcPr>
          <w:p w14:paraId="4282FE2D" w14:textId="5302CEFD" w:rsidR="007C5B0D" w:rsidRPr="007C5B0D" w:rsidRDefault="007C5B0D">
            <w:pPr>
              <w:rPr>
                <w:sz w:val="22"/>
                <w:szCs w:val="22"/>
              </w:rPr>
            </w:pPr>
            <w:r w:rsidRPr="007C5B0D">
              <w:rPr>
                <w:sz w:val="22"/>
                <w:szCs w:val="22"/>
              </w:rPr>
              <w:t xml:space="preserve">Leukocyte common antigen </w:t>
            </w:r>
          </w:p>
        </w:tc>
      </w:tr>
      <w:tr w:rsidR="007C5B0D" w14:paraId="7F5A2546" w14:textId="77777777" w:rsidTr="007C5B0D">
        <w:tc>
          <w:tcPr>
            <w:tcW w:w="3116" w:type="dxa"/>
          </w:tcPr>
          <w:p w14:paraId="4CAB4BE2" w14:textId="35130333" w:rsidR="007C5B0D" w:rsidRPr="007C5B0D" w:rsidRDefault="007C5B0D">
            <w:pPr>
              <w:rPr>
                <w:sz w:val="22"/>
                <w:szCs w:val="22"/>
              </w:rPr>
            </w:pPr>
            <w:r w:rsidRPr="007C5B0D">
              <w:rPr>
                <w:sz w:val="22"/>
                <w:szCs w:val="22"/>
              </w:rPr>
              <w:t xml:space="preserve">PE-Texas-Red </w:t>
            </w:r>
          </w:p>
        </w:tc>
        <w:tc>
          <w:tcPr>
            <w:tcW w:w="3117" w:type="dxa"/>
          </w:tcPr>
          <w:p w14:paraId="628AEBD9" w14:textId="07DA2000" w:rsidR="007C5B0D" w:rsidRPr="007C5B0D" w:rsidRDefault="007C5B0D">
            <w:pPr>
              <w:rPr>
                <w:sz w:val="22"/>
                <w:szCs w:val="22"/>
              </w:rPr>
            </w:pPr>
            <w:r w:rsidRPr="007C5B0D">
              <w:rPr>
                <w:sz w:val="22"/>
                <w:szCs w:val="22"/>
              </w:rPr>
              <w:t xml:space="preserve">HLA-DR </w:t>
            </w:r>
          </w:p>
        </w:tc>
        <w:tc>
          <w:tcPr>
            <w:tcW w:w="3117" w:type="dxa"/>
          </w:tcPr>
          <w:p w14:paraId="0AAA778E" w14:textId="77777777" w:rsidR="007C5B0D" w:rsidRPr="007C5B0D" w:rsidRDefault="007C5B0D" w:rsidP="007C5B0D">
            <w:pPr>
              <w:rPr>
                <w:sz w:val="22"/>
                <w:szCs w:val="22"/>
              </w:rPr>
            </w:pPr>
            <w:r w:rsidRPr="007C5B0D">
              <w:rPr>
                <w:sz w:val="22"/>
                <w:szCs w:val="22"/>
              </w:rPr>
              <w:t>MHC class II cell surface receptor</w:t>
            </w:r>
          </w:p>
          <w:p w14:paraId="0686E05E" w14:textId="77777777" w:rsidR="007C5B0D" w:rsidRPr="007C5B0D" w:rsidRDefault="007C5B0D">
            <w:pPr>
              <w:rPr>
                <w:sz w:val="22"/>
                <w:szCs w:val="22"/>
              </w:rPr>
            </w:pPr>
          </w:p>
        </w:tc>
      </w:tr>
      <w:tr w:rsidR="007C5B0D" w14:paraId="27AD693E" w14:textId="77777777" w:rsidTr="007C5B0D">
        <w:tc>
          <w:tcPr>
            <w:tcW w:w="3116" w:type="dxa"/>
            <w:shd w:val="clear" w:color="auto" w:fill="ACCBF9" w:themeFill="background2"/>
          </w:tcPr>
          <w:p w14:paraId="4736B1CE" w14:textId="1E233BB9" w:rsidR="007C5B0D" w:rsidRPr="007C5B0D" w:rsidRDefault="007C5B0D">
            <w:pPr>
              <w:rPr>
                <w:sz w:val="22"/>
                <w:szCs w:val="22"/>
              </w:rPr>
            </w:pPr>
            <w:r w:rsidRPr="007C5B0D">
              <w:rPr>
                <w:sz w:val="22"/>
                <w:szCs w:val="22"/>
              </w:rPr>
              <w:t xml:space="preserve">BV605 </w:t>
            </w:r>
          </w:p>
        </w:tc>
        <w:tc>
          <w:tcPr>
            <w:tcW w:w="3117" w:type="dxa"/>
            <w:shd w:val="clear" w:color="auto" w:fill="ACCBF9" w:themeFill="background2"/>
          </w:tcPr>
          <w:p w14:paraId="1850096D" w14:textId="6CD94779" w:rsidR="007C5B0D" w:rsidRPr="007C5B0D" w:rsidRDefault="007C5B0D">
            <w:pPr>
              <w:rPr>
                <w:sz w:val="22"/>
                <w:szCs w:val="22"/>
              </w:rPr>
            </w:pPr>
            <w:r w:rsidRPr="007C5B0D">
              <w:rPr>
                <w:sz w:val="22"/>
                <w:szCs w:val="22"/>
              </w:rPr>
              <w:t>CD123</w:t>
            </w:r>
          </w:p>
        </w:tc>
        <w:tc>
          <w:tcPr>
            <w:tcW w:w="3117" w:type="dxa"/>
            <w:shd w:val="clear" w:color="auto" w:fill="ACCBF9" w:themeFill="background2"/>
          </w:tcPr>
          <w:p w14:paraId="5186490D" w14:textId="539C92D2" w:rsidR="007C5B0D" w:rsidRPr="007C5B0D" w:rsidRDefault="007C5B0D">
            <w:pPr>
              <w:rPr>
                <w:sz w:val="22"/>
                <w:szCs w:val="22"/>
              </w:rPr>
            </w:pPr>
            <w:r w:rsidRPr="007C5B0D">
              <w:rPr>
                <w:sz w:val="22"/>
                <w:szCs w:val="22"/>
              </w:rPr>
              <w:t xml:space="preserve">On Monocyte derived dendritic cells; IL3 receptor </w:t>
            </w:r>
          </w:p>
        </w:tc>
      </w:tr>
      <w:tr w:rsidR="007C5B0D" w14:paraId="16ACC1EC" w14:textId="77777777" w:rsidTr="007C5B0D">
        <w:tc>
          <w:tcPr>
            <w:tcW w:w="3116" w:type="dxa"/>
          </w:tcPr>
          <w:p w14:paraId="692EADDC" w14:textId="518DD1DC" w:rsidR="007C5B0D" w:rsidRPr="007C5B0D" w:rsidRDefault="007C5B0D">
            <w:pPr>
              <w:rPr>
                <w:sz w:val="22"/>
                <w:szCs w:val="22"/>
              </w:rPr>
            </w:pPr>
            <w:r w:rsidRPr="007C5B0D">
              <w:rPr>
                <w:sz w:val="22"/>
                <w:szCs w:val="22"/>
              </w:rPr>
              <w:t>APC Cy7</w:t>
            </w:r>
          </w:p>
        </w:tc>
        <w:tc>
          <w:tcPr>
            <w:tcW w:w="3117" w:type="dxa"/>
          </w:tcPr>
          <w:p w14:paraId="3ED0CDC1" w14:textId="2DD754AF" w:rsidR="007C5B0D" w:rsidRPr="007C5B0D" w:rsidRDefault="007C5B0D">
            <w:pPr>
              <w:rPr>
                <w:sz w:val="22"/>
                <w:szCs w:val="22"/>
              </w:rPr>
            </w:pPr>
            <w:r w:rsidRPr="007C5B0D">
              <w:rPr>
                <w:sz w:val="22"/>
                <w:szCs w:val="22"/>
              </w:rPr>
              <w:t>CD11-b</w:t>
            </w:r>
          </w:p>
        </w:tc>
        <w:tc>
          <w:tcPr>
            <w:tcW w:w="3117" w:type="dxa"/>
          </w:tcPr>
          <w:p w14:paraId="6B72301D" w14:textId="502CECA0" w:rsidR="007C5B0D" w:rsidRPr="007C5B0D" w:rsidRDefault="007C5B0D">
            <w:pPr>
              <w:rPr>
                <w:sz w:val="22"/>
                <w:szCs w:val="22"/>
              </w:rPr>
            </w:pPr>
            <w:r w:rsidRPr="007C5B0D">
              <w:rPr>
                <w:sz w:val="22"/>
                <w:szCs w:val="22"/>
              </w:rPr>
              <w:t xml:space="preserve">On monocytes; inflammatory response </w:t>
            </w:r>
          </w:p>
        </w:tc>
      </w:tr>
      <w:tr w:rsidR="007C5B0D" w14:paraId="0D903E98" w14:textId="77777777" w:rsidTr="007C5B0D">
        <w:tc>
          <w:tcPr>
            <w:tcW w:w="3116" w:type="dxa"/>
            <w:shd w:val="clear" w:color="auto" w:fill="ACCBF9" w:themeFill="background2"/>
          </w:tcPr>
          <w:p w14:paraId="7B216D3C" w14:textId="71DFDEBB" w:rsidR="007C5B0D" w:rsidRPr="007C5B0D" w:rsidRDefault="007C5B0D">
            <w:pPr>
              <w:rPr>
                <w:sz w:val="22"/>
                <w:szCs w:val="22"/>
              </w:rPr>
            </w:pPr>
            <w:r w:rsidRPr="007C5B0D">
              <w:rPr>
                <w:sz w:val="22"/>
                <w:szCs w:val="22"/>
              </w:rPr>
              <w:t>PE Cy7</w:t>
            </w:r>
          </w:p>
        </w:tc>
        <w:tc>
          <w:tcPr>
            <w:tcW w:w="3117" w:type="dxa"/>
            <w:shd w:val="clear" w:color="auto" w:fill="ACCBF9" w:themeFill="background2"/>
          </w:tcPr>
          <w:p w14:paraId="4C688325" w14:textId="352B70D0" w:rsidR="007C5B0D" w:rsidRPr="007C5B0D" w:rsidRDefault="007C5B0D">
            <w:pPr>
              <w:rPr>
                <w:sz w:val="22"/>
                <w:szCs w:val="22"/>
              </w:rPr>
            </w:pPr>
            <w:r w:rsidRPr="007C5B0D">
              <w:rPr>
                <w:sz w:val="22"/>
                <w:szCs w:val="22"/>
              </w:rPr>
              <w:t>CD86</w:t>
            </w:r>
          </w:p>
        </w:tc>
        <w:tc>
          <w:tcPr>
            <w:tcW w:w="3117" w:type="dxa"/>
            <w:shd w:val="clear" w:color="auto" w:fill="ACCBF9" w:themeFill="background2"/>
          </w:tcPr>
          <w:p w14:paraId="607BEF17" w14:textId="385F6716" w:rsidR="007C5B0D" w:rsidRPr="007C5B0D" w:rsidRDefault="007C5B0D">
            <w:pPr>
              <w:rPr>
                <w:sz w:val="22"/>
                <w:szCs w:val="22"/>
              </w:rPr>
            </w:pPr>
            <w:r w:rsidRPr="007C5B0D">
              <w:rPr>
                <w:sz w:val="22"/>
                <w:szCs w:val="22"/>
              </w:rPr>
              <w:t xml:space="preserve">On antigen presenting cells; provides co-stimulatory signals necessary for T cell activation </w:t>
            </w:r>
          </w:p>
        </w:tc>
      </w:tr>
      <w:tr w:rsidR="007C5B0D" w14:paraId="76031444" w14:textId="77777777" w:rsidTr="007C5B0D">
        <w:tc>
          <w:tcPr>
            <w:tcW w:w="3116" w:type="dxa"/>
          </w:tcPr>
          <w:p w14:paraId="073CC23C" w14:textId="4103FB01" w:rsidR="007C5B0D" w:rsidRPr="007C5B0D" w:rsidRDefault="00F702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APC</w:t>
            </w:r>
          </w:p>
        </w:tc>
        <w:tc>
          <w:tcPr>
            <w:tcW w:w="3117" w:type="dxa"/>
          </w:tcPr>
          <w:p w14:paraId="40F4262E" w14:textId="3E583F1D" w:rsidR="007C5B0D" w:rsidRPr="007C5B0D" w:rsidRDefault="00F702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CCR-2</w:t>
            </w:r>
          </w:p>
        </w:tc>
        <w:tc>
          <w:tcPr>
            <w:tcW w:w="3117" w:type="dxa"/>
          </w:tcPr>
          <w:p w14:paraId="716976E5" w14:textId="19166A09" w:rsidR="007C5B0D" w:rsidRPr="007C5B0D" w:rsidRDefault="007C5B0D">
            <w:pPr>
              <w:rPr>
                <w:sz w:val="22"/>
                <w:szCs w:val="22"/>
              </w:rPr>
            </w:pPr>
            <w:r w:rsidRPr="007C5B0D">
              <w:rPr>
                <w:sz w:val="22"/>
                <w:szCs w:val="22"/>
              </w:rPr>
              <w:t xml:space="preserve">Monocyte chemotaxis </w:t>
            </w:r>
          </w:p>
        </w:tc>
      </w:tr>
      <w:tr w:rsidR="007C5B0D" w14:paraId="25D32BFD" w14:textId="77777777" w:rsidTr="007C5B0D">
        <w:tc>
          <w:tcPr>
            <w:tcW w:w="3116" w:type="dxa"/>
            <w:shd w:val="clear" w:color="auto" w:fill="ACCBF9" w:themeFill="background2"/>
          </w:tcPr>
          <w:p w14:paraId="7CBFAB8F" w14:textId="0665E732" w:rsidR="007C5B0D" w:rsidRPr="007C5B0D" w:rsidRDefault="007C5B0D">
            <w:pPr>
              <w:rPr>
                <w:sz w:val="22"/>
                <w:szCs w:val="22"/>
              </w:rPr>
            </w:pPr>
            <w:proofErr w:type="spellStart"/>
            <w:r w:rsidRPr="007C5B0D">
              <w:rPr>
                <w:sz w:val="22"/>
                <w:szCs w:val="22"/>
              </w:rPr>
              <w:t>PerCP</w:t>
            </w:r>
            <w:proofErr w:type="spellEnd"/>
            <w:r w:rsidRPr="007C5B0D">
              <w:rPr>
                <w:sz w:val="22"/>
                <w:szCs w:val="22"/>
              </w:rPr>
              <w:t xml:space="preserve"> *Cy5.5</w:t>
            </w:r>
          </w:p>
        </w:tc>
        <w:tc>
          <w:tcPr>
            <w:tcW w:w="3117" w:type="dxa"/>
            <w:shd w:val="clear" w:color="auto" w:fill="ACCBF9" w:themeFill="background2"/>
          </w:tcPr>
          <w:p w14:paraId="602581C3" w14:textId="3B943448" w:rsidR="007C5B0D" w:rsidRPr="007C5B0D" w:rsidRDefault="007C5B0D">
            <w:pPr>
              <w:rPr>
                <w:sz w:val="22"/>
                <w:szCs w:val="22"/>
              </w:rPr>
            </w:pPr>
            <w:r w:rsidRPr="007C5B0D">
              <w:rPr>
                <w:sz w:val="22"/>
                <w:szCs w:val="22"/>
              </w:rPr>
              <w:t xml:space="preserve">CD20/3/19/56/6 (lineage) </w:t>
            </w:r>
          </w:p>
        </w:tc>
        <w:tc>
          <w:tcPr>
            <w:tcW w:w="3117" w:type="dxa"/>
            <w:shd w:val="clear" w:color="auto" w:fill="ACCBF9" w:themeFill="background2"/>
          </w:tcPr>
          <w:p w14:paraId="19EFF693" w14:textId="0D7ABBAC" w:rsidR="007C5B0D" w:rsidRPr="007C5B0D" w:rsidRDefault="007C5B0D">
            <w:pPr>
              <w:rPr>
                <w:sz w:val="22"/>
                <w:szCs w:val="22"/>
              </w:rPr>
            </w:pPr>
            <w:r w:rsidRPr="007C5B0D">
              <w:rPr>
                <w:sz w:val="22"/>
                <w:szCs w:val="22"/>
              </w:rPr>
              <w:t xml:space="preserve">B cells/T cells/NK cells </w:t>
            </w:r>
          </w:p>
        </w:tc>
      </w:tr>
    </w:tbl>
    <w:p w14:paraId="299D5472" w14:textId="71BDFCA5" w:rsidR="00053E5B" w:rsidRDefault="007C5B0D">
      <w:r>
        <w:t>`</w:t>
      </w:r>
    </w:p>
    <w:sectPr w:rsidR="00053E5B" w:rsidSect="00E5682E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D24E24" w14:textId="77777777" w:rsidR="00F5038F" w:rsidRDefault="00F5038F" w:rsidP="00DF5D16">
      <w:pPr>
        <w:spacing w:after="0" w:line="240" w:lineRule="auto"/>
      </w:pPr>
      <w:r>
        <w:separator/>
      </w:r>
    </w:p>
  </w:endnote>
  <w:endnote w:type="continuationSeparator" w:id="0">
    <w:p w14:paraId="5EAE7912" w14:textId="77777777" w:rsidR="00F5038F" w:rsidRDefault="00F5038F" w:rsidP="00DF5D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723E38" w14:textId="77777777" w:rsidR="00F5038F" w:rsidRDefault="00F5038F" w:rsidP="00DF5D16">
      <w:pPr>
        <w:spacing w:after="0" w:line="240" w:lineRule="auto"/>
      </w:pPr>
      <w:r>
        <w:separator/>
      </w:r>
    </w:p>
  </w:footnote>
  <w:footnote w:type="continuationSeparator" w:id="0">
    <w:p w14:paraId="141F4BC7" w14:textId="77777777" w:rsidR="00F5038F" w:rsidRDefault="00F5038F" w:rsidP="00DF5D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78DF5D" w14:textId="5766A961" w:rsidR="00DF5D16" w:rsidRPr="00DF5D16" w:rsidRDefault="00DF5D16">
    <w:pPr>
      <w:pStyle w:val="Header"/>
      <w:rPr>
        <w:rFonts w:asciiTheme="majorBidi" w:hAnsiTheme="majorBidi" w:cstheme="majorBidi"/>
        <w:sz w:val="32"/>
        <w:szCs w:val="32"/>
      </w:rPr>
    </w:pPr>
    <w:r w:rsidRPr="00DF5D16">
      <w:rPr>
        <w:rFonts w:asciiTheme="majorBidi" w:hAnsiTheme="majorBidi" w:cstheme="majorBidi"/>
        <w:sz w:val="32"/>
        <w:szCs w:val="32"/>
      </w:rPr>
      <w:t>Supplemental Table 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9911088"/>
    <w:multiLevelType w:val="hybridMultilevel"/>
    <w:tmpl w:val="B89254AA"/>
    <w:lvl w:ilvl="0" w:tplc="5ED0EE42">
      <w:start w:val="1"/>
      <w:numFmt w:val="bullet"/>
      <w:pStyle w:val="ListParagraph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5B0D"/>
    <w:rsid w:val="003B0B4E"/>
    <w:rsid w:val="00400A16"/>
    <w:rsid w:val="004C192E"/>
    <w:rsid w:val="00715551"/>
    <w:rsid w:val="007C5B0D"/>
    <w:rsid w:val="0093719F"/>
    <w:rsid w:val="00A7143B"/>
    <w:rsid w:val="00DF5D16"/>
    <w:rsid w:val="00E5682E"/>
    <w:rsid w:val="00F5038F"/>
    <w:rsid w:val="00F70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065D1A"/>
  <w15:chartTrackingRefBased/>
  <w15:docId w15:val="{9887D3BD-AB14-5048-8F2A-B7DF9C566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5B0D"/>
    <w:rPr>
      <w:iCs/>
      <w:sz w:val="21"/>
      <w:szCs w:val="21"/>
    </w:rPr>
  </w:style>
  <w:style w:type="paragraph" w:styleId="Heading1">
    <w:name w:val="heading 1"/>
    <w:basedOn w:val="Normal"/>
    <w:next w:val="Normal"/>
    <w:link w:val="Heading1Char"/>
    <w:uiPriority w:val="9"/>
    <w:qFormat/>
    <w:rsid w:val="007C5B0D"/>
    <w:pPr>
      <w:pBdr>
        <w:top w:val="single" w:sz="12" w:space="1" w:color="629DD1" w:themeColor="accent2"/>
        <w:left w:val="single" w:sz="12" w:space="4" w:color="629DD1" w:themeColor="accent2"/>
        <w:bottom w:val="single" w:sz="12" w:space="1" w:color="629DD1" w:themeColor="accent2"/>
        <w:right w:val="single" w:sz="12" w:space="4" w:color="629DD1" w:themeColor="accent2"/>
      </w:pBdr>
      <w:shd w:val="clear" w:color="auto" w:fill="4A66AC" w:themeFill="accent1"/>
      <w:spacing w:line="240" w:lineRule="auto"/>
      <w:outlineLvl w:val="0"/>
    </w:pPr>
    <w:rPr>
      <w:rFonts w:asciiTheme="majorHAnsi" w:hAnsiTheme="majorHAnsi"/>
      <w:color w:val="FFFFFF"/>
      <w:sz w:val="28"/>
      <w:szCs w:val="3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5B0D"/>
    <w:pPr>
      <w:spacing w:before="200" w:after="60" w:line="240" w:lineRule="auto"/>
      <w:contextualSpacing/>
      <w:outlineLvl w:val="1"/>
    </w:pPr>
    <w:rPr>
      <w:rFonts w:asciiTheme="majorHAnsi" w:eastAsiaTheme="majorEastAsia" w:hAnsiTheme="majorHAnsi" w:cstheme="majorBidi"/>
      <w:b/>
      <w:bCs/>
      <w:outline/>
      <w:color w:val="4A66AC" w:themeColor="accent1"/>
      <w:sz w:val="34"/>
      <w:szCs w:val="34"/>
      <w14:textOutline w14:w="9525" w14:cap="flat" w14:cmpd="sng" w14:algn="ctr">
        <w14:solidFill>
          <w14:schemeClr w14:val="accent1">
            <w14:lumMod w14:val="75000"/>
          </w14:schemeClr>
        </w14:solidFill>
        <w14:prstDash w14:val="solid"/>
        <w14:round/>
      </w14:textOutline>
      <w14:textFill>
        <w14:noFill/>
      </w14:textFill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5B0D"/>
    <w:pPr>
      <w:spacing w:before="200" w:after="100" w:line="240" w:lineRule="auto"/>
      <w:contextualSpacing/>
      <w:outlineLvl w:val="2"/>
    </w:pPr>
    <w:rPr>
      <w:rFonts w:asciiTheme="majorHAnsi" w:eastAsiaTheme="majorEastAsia" w:hAnsiTheme="majorHAnsi" w:cstheme="majorBidi"/>
      <w:b/>
      <w:bCs/>
      <w:smallCaps/>
      <w:color w:val="3476B1" w:themeColor="accent2" w:themeShade="BF"/>
      <w:spacing w:val="24"/>
      <w:sz w:val="28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5B0D"/>
    <w:pP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color w:val="374C80" w:themeColor="accent1" w:themeShade="BF"/>
      <w:sz w:val="24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5B0D"/>
    <w:pP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bCs/>
      <w:caps/>
      <w:color w:val="3476B1" w:themeColor="accent2" w:themeShade="BF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5B0D"/>
    <w:pP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374C80" w:themeColor="accent1" w:themeShade="BF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5B0D"/>
    <w:pP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3476B1" w:themeColor="accent2" w:themeShade="BF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5B0D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4A66AC" w:themeColor="accent1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5B0D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629DD1" w:themeColor="accent2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C5B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7C5B0D"/>
    <w:rPr>
      <w:rFonts w:asciiTheme="majorHAnsi" w:hAnsiTheme="majorHAnsi"/>
      <w:iCs/>
      <w:color w:val="FFFFFF"/>
      <w:sz w:val="28"/>
      <w:szCs w:val="38"/>
      <w:shd w:val="clear" w:color="auto" w:fill="4A66AC" w:themeFill="accent1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5B0D"/>
    <w:rPr>
      <w:rFonts w:asciiTheme="majorHAnsi" w:eastAsiaTheme="majorEastAsia" w:hAnsiTheme="majorHAnsi" w:cstheme="majorBidi"/>
      <w:b/>
      <w:bCs/>
      <w:iCs/>
      <w:outline/>
      <w:color w:val="4A66AC" w:themeColor="accent1"/>
      <w:sz w:val="34"/>
      <w:szCs w:val="34"/>
      <w14:textOutline w14:w="9525" w14:cap="flat" w14:cmpd="sng" w14:algn="ctr">
        <w14:solidFill>
          <w14:schemeClr w14:val="accent1">
            <w14:lumMod w14:val="75000"/>
          </w14:schemeClr>
        </w14:solidFill>
        <w14:prstDash w14:val="solid"/>
        <w14:round/>
      </w14:textOutline>
      <w14:textFill>
        <w14:noFill/>
      </w14:textFill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5B0D"/>
    <w:rPr>
      <w:rFonts w:asciiTheme="majorHAnsi" w:eastAsiaTheme="majorEastAsia" w:hAnsiTheme="majorHAnsi" w:cstheme="majorBidi"/>
      <w:b/>
      <w:bCs/>
      <w:iCs/>
      <w:smallCaps/>
      <w:color w:val="3476B1" w:themeColor="accent2" w:themeShade="BF"/>
      <w:spacing w:val="24"/>
      <w:sz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5B0D"/>
    <w:rPr>
      <w:rFonts w:asciiTheme="majorHAnsi" w:eastAsiaTheme="majorEastAsia" w:hAnsiTheme="majorHAnsi" w:cstheme="majorBidi"/>
      <w:b/>
      <w:bCs/>
      <w:iCs/>
      <w:color w:val="374C80" w:themeColor="accent1" w:themeShade="BF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5B0D"/>
    <w:rPr>
      <w:rFonts w:asciiTheme="majorHAnsi" w:eastAsiaTheme="majorEastAsia" w:hAnsiTheme="majorHAnsi" w:cstheme="majorBidi"/>
      <w:bCs/>
      <w:iCs/>
      <w:caps/>
      <w:color w:val="3476B1" w:themeColor="accent2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5B0D"/>
    <w:rPr>
      <w:rFonts w:asciiTheme="majorHAnsi" w:eastAsiaTheme="majorEastAsia" w:hAnsiTheme="majorHAnsi" w:cstheme="majorBidi"/>
      <w:iCs/>
      <w:color w:val="374C80" w:themeColor="accent1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5B0D"/>
    <w:rPr>
      <w:rFonts w:asciiTheme="majorHAnsi" w:eastAsiaTheme="majorEastAsia" w:hAnsiTheme="majorHAnsi" w:cstheme="majorBidi"/>
      <w:iCs/>
      <w:color w:val="3476B1" w:themeColor="accent2" w:themeShade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5B0D"/>
    <w:rPr>
      <w:rFonts w:asciiTheme="majorHAnsi" w:eastAsiaTheme="majorEastAsia" w:hAnsiTheme="majorHAnsi" w:cstheme="majorBidi"/>
      <w:iCs/>
      <w:color w:val="4A66AC" w:themeColor="accent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5B0D"/>
    <w:rPr>
      <w:rFonts w:asciiTheme="majorHAnsi" w:eastAsiaTheme="majorEastAsia" w:hAnsiTheme="majorHAnsi" w:cstheme="majorBidi"/>
      <w:iCs/>
      <w:smallCaps/>
      <w:color w:val="629DD1" w:themeColor="accent2"/>
      <w:sz w:val="20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7C5B0D"/>
    <w:rPr>
      <w:b/>
      <w:bCs/>
      <w:color w:val="3476B1" w:themeColor="accent2" w:themeShade="BF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7C5B0D"/>
    <w:pPr>
      <w:shd w:val="clear" w:color="auto" w:fill="FFFFFF" w:themeFill="background1"/>
      <w:spacing w:after="120" w:line="240" w:lineRule="auto"/>
    </w:pPr>
    <w:rPr>
      <w:rFonts w:asciiTheme="majorHAnsi" w:eastAsiaTheme="majorEastAsia" w:hAnsiTheme="majorHAnsi" w:cstheme="majorBidi"/>
      <w:b/>
      <w:color w:val="FFFFFF" w:themeColor="background1"/>
      <w:spacing w:val="10"/>
      <w:sz w:val="72"/>
      <w:szCs w:val="64"/>
      <w14:textOutline w14:w="13335" w14:cap="flat" w14:cmpd="sng" w14:algn="ctr">
        <w14:solidFill>
          <w14:schemeClr w14:val="accent1">
            <w14:lumMod w14:val="50000"/>
          </w14:schemeClr>
        </w14:solidFill>
        <w14:prstDash w14:val="solid"/>
        <w14:round/>
      </w14:textOutline>
    </w:rPr>
  </w:style>
  <w:style w:type="character" w:customStyle="1" w:styleId="TitleChar">
    <w:name w:val="Title Char"/>
    <w:basedOn w:val="DefaultParagraphFont"/>
    <w:link w:val="Title"/>
    <w:uiPriority w:val="10"/>
    <w:rsid w:val="007C5B0D"/>
    <w:rPr>
      <w:rFonts w:asciiTheme="majorHAnsi" w:eastAsiaTheme="majorEastAsia" w:hAnsiTheme="majorHAnsi" w:cstheme="majorBidi"/>
      <w:b/>
      <w:iCs/>
      <w:color w:val="FFFFFF" w:themeColor="background1"/>
      <w:spacing w:val="10"/>
      <w:sz w:val="72"/>
      <w:szCs w:val="64"/>
      <w:shd w:val="clear" w:color="auto" w:fill="FFFFFF" w:themeFill="background1"/>
      <w14:textOutline w14:w="13335" w14:cap="flat" w14:cmpd="sng" w14:algn="ctr">
        <w14:solidFill>
          <w14:schemeClr w14:val="accent1">
            <w14:lumMod w14:val="50000"/>
          </w14:schemeClr>
        </w14:solidFill>
        <w14:prstDash w14:val="solid"/>
        <w14:round/>
      </w14:textOutline>
    </w:rPr>
  </w:style>
  <w:style w:type="paragraph" w:styleId="Subtitle">
    <w:name w:val="Subtitle"/>
    <w:basedOn w:val="Normal"/>
    <w:next w:val="Normal"/>
    <w:link w:val="SubtitleChar"/>
    <w:uiPriority w:val="11"/>
    <w:qFormat/>
    <w:rsid w:val="007C5B0D"/>
    <w:pPr>
      <w:spacing w:before="200" w:after="360" w:line="240" w:lineRule="auto"/>
    </w:pPr>
    <w:rPr>
      <w:rFonts w:asciiTheme="majorHAnsi" w:eastAsiaTheme="majorEastAsia" w:hAnsiTheme="majorHAnsi" w:cstheme="majorBidi"/>
      <w:color w:val="242852" w:themeColor="text2"/>
      <w:spacing w:val="20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7C5B0D"/>
    <w:rPr>
      <w:rFonts w:asciiTheme="majorHAnsi" w:eastAsiaTheme="majorEastAsia" w:hAnsiTheme="majorHAnsi" w:cstheme="majorBidi"/>
      <w:iCs/>
      <w:color w:val="242852" w:themeColor="text2"/>
      <w:spacing w:val="20"/>
      <w:sz w:val="24"/>
      <w:szCs w:val="24"/>
    </w:rPr>
  </w:style>
  <w:style w:type="character" w:styleId="Strong">
    <w:name w:val="Strong"/>
    <w:uiPriority w:val="22"/>
    <w:qFormat/>
    <w:rsid w:val="007C5B0D"/>
    <w:rPr>
      <w:b/>
      <w:bCs/>
      <w:spacing w:val="0"/>
    </w:rPr>
  </w:style>
  <w:style w:type="character" w:styleId="Emphasis">
    <w:name w:val="Emphasis"/>
    <w:uiPriority w:val="20"/>
    <w:qFormat/>
    <w:rsid w:val="007C5B0D"/>
    <w:rPr>
      <w:rFonts w:eastAsiaTheme="majorEastAsia" w:cstheme="majorBidi"/>
      <w:b/>
      <w:bCs/>
      <w:color w:val="3476B1" w:themeColor="accent2" w:themeShade="BF"/>
      <w:bdr w:val="single" w:sz="18" w:space="0" w:color="ACCBF9" w:themeColor="background2"/>
      <w:shd w:val="clear" w:color="auto" w:fill="ACCBF9" w:themeFill="background2"/>
    </w:rPr>
  </w:style>
  <w:style w:type="paragraph" w:styleId="NoSpacing">
    <w:name w:val="No Spacing"/>
    <w:basedOn w:val="Normal"/>
    <w:uiPriority w:val="1"/>
    <w:qFormat/>
    <w:rsid w:val="007C5B0D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C5B0D"/>
    <w:pPr>
      <w:numPr>
        <w:numId w:val="1"/>
      </w:numPr>
      <w:contextualSpacing/>
    </w:pPr>
    <w:rPr>
      <w:sz w:val="22"/>
    </w:rPr>
  </w:style>
  <w:style w:type="paragraph" w:styleId="Quote">
    <w:name w:val="Quote"/>
    <w:basedOn w:val="Normal"/>
    <w:next w:val="Normal"/>
    <w:link w:val="QuoteChar"/>
    <w:uiPriority w:val="29"/>
    <w:qFormat/>
    <w:rsid w:val="007C5B0D"/>
    <w:rPr>
      <w:b/>
      <w:i/>
      <w:color w:val="629DD1" w:themeColor="accent2"/>
      <w:sz w:val="24"/>
    </w:rPr>
  </w:style>
  <w:style w:type="character" w:customStyle="1" w:styleId="QuoteChar">
    <w:name w:val="Quote Char"/>
    <w:basedOn w:val="DefaultParagraphFont"/>
    <w:link w:val="Quote"/>
    <w:uiPriority w:val="29"/>
    <w:rsid w:val="007C5B0D"/>
    <w:rPr>
      <w:b/>
      <w:i/>
      <w:iCs/>
      <w:color w:val="629DD1" w:themeColor="accent2"/>
      <w:sz w:val="24"/>
      <w:szCs w:val="2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5B0D"/>
    <w:pPr>
      <w:pBdr>
        <w:top w:val="dotted" w:sz="8" w:space="10" w:color="629DD1" w:themeColor="accent2"/>
        <w:bottom w:val="dotted" w:sz="8" w:space="10" w:color="629DD1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i/>
      <w:color w:val="629DD1" w:themeColor="accent2"/>
      <w:sz w:val="20"/>
      <w:szCs w:val="2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5B0D"/>
    <w:rPr>
      <w:rFonts w:asciiTheme="majorHAnsi" w:eastAsiaTheme="majorEastAsia" w:hAnsiTheme="majorHAnsi" w:cstheme="majorBidi"/>
      <w:b/>
      <w:bCs/>
      <w:i/>
      <w:iCs/>
      <w:color w:val="629DD1" w:themeColor="accent2"/>
      <w:sz w:val="20"/>
      <w:szCs w:val="20"/>
    </w:rPr>
  </w:style>
  <w:style w:type="character" w:styleId="SubtleEmphasis">
    <w:name w:val="Subtle Emphasis"/>
    <w:uiPriority w:val="19"/>
    <w:qFormat/>
    <w:rsid w:val="007C5B0D"/>
    <w:rPr>
      <w:rFonts w:asciiTheme="majorHAnsi" w:eastAsiaTheme="majorEastAsia" w:hAnsiTheme="majorHAnsi" w:cstheme="majorBidi"/>
      <w:b/>
      <w:i/>
      <w:color w:val="4A66AC" w:themeColor="accent1"/>
    </w:rPr>
  </w:style>
  <w:style w:type="character" w:styleId="IntenseEmphasis">
    <w:name w:val="Intense Emphasis"/>
    <w:uiPriority w:val="21"/>
    <w:qFormat/>
    <w:rsid w:val="007C5B0D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629DD1" w:themeColor="accent2"/>
      <w:shd w:val="clear" w:color="auto" w:fill="629DD1" w:themeFill="accent2"/>
      <w:vertAlign w:val="baseline"/>
    </w:rPr>
  </w:style>
  <w:style w:type="character" w:styleId="SubtleReference">
    <w:name w:val="Subtle Reference"/>
    <w:uiPriority w:val="31"/>
    <w:qFormat/>
    <w:rsid w:val="007C5B0D"/>
    <w:rPr>
      <w:i/>
      <w:iCs/>
      <w:smallCaps/>
      <w:color w:val="629DD1" w:themeColor="accent2"/>
      <w:u w:color="629DD1" w:themeColor="accent2"/>
    </w:rPr>
  </w:style>
  <w:style w:type="character" w:styleId="IntenseReference">
    <w:name w:val="Intense Reference"/>
    <w:uiPriority w:val="32"/>
    <w:qFormat/>
    <w:rsid w:val="007C5B0D"/>
    <w:rPr>
      <w:b/>
      <w:bCs/>
      <w:i/>
      <w:iCs/>
      <w:smallCaps/>
      <w:color w:val="629DD1" w:themeColor="accent2"/>
      <w:u w:color="629DD1" w:themeColor="accent2"/>
    </w:rPr>
  </w:style>
  <w:style w:type="character" w:styleId="BookTitle">
    <w:name w:val="Book Title"/>
    <w:uiPriority w:val="33"/>
    <w:qFormat/>
    <w:rsid w:val="007C5B0D"/>
    <w:rPr>
      <w:rFonts w:asciiTheme="majorHAnsi" w:eastAsiaTheme="majorEastAsia" w:hAnsiTheme="majorHAnsi" w:cstheme="majorBidi"/>
      <w:b/>
      <w:bCs/>
      <w:smallCaps/>
      <w:color w:val="629DD1" w:themeColor="accent2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C5B0D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DF5D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5D16"/>
    <w:rPr>
      <w:iCs/>
      <w:sz w:val="21"/>
      <w:szCs w:val="21"/>
    </w:rPr>
  </w:style>
  <w:style w:type="paragraph" w:styleId="Footer">
    <w:name w:val="footer"/>
    <w:basedOn w:val="Normal"/>
    <w:link w:val="FooterChar"/>
    <w:uiPriority w:val="99"/>
    <w:unhideWhenUsed/>
    <w:rsid w:val="00DF5D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5D16"/>
    <w:rPr>
      <w:iCs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249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 Warm">
      <a:dk1>
        <a:sysClr val="windowText" lastClr="000000"/>
      </a:dk1>
      <a:lt1>
        <a:sysClr val="window" lastClr="FFFFFF"/>
      </a:lt1>
      <a:dk2>
        <a:srgbClr val="242852"/>
      </a:dk2>
      <a:lt2>
        <a:srgbClr val="ACCBF9"/>
      </a:lt2>
      <a:accent1>
        <a:srgbClr val="4A66AC"/>
      </a:accent1>
      <a:accent2>
        <a:srgbClr val="629DD1"/>
      </a:accent2>
      <a:accent3>
        <a:srgbClr val="297FD5"/>
      </a:accent3>
      <a:accent4>
        <a:srgbClr val="7F8FA9"/>
      </a:accent4>
      <a:accent5>
        <a:srgbClr val="5AA2AE"/>
      </a:accent5>
      <a:accent6>
        <a:srgbClr val="9D90A0"/>
      </a:accent6>
      <a:hlink>
        <a:srgbClr val="9454C3"/>
      </a:hlink>
      <a:folHlink>
        <a:srgbClr val="3EBBF0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</Words>
  <Characters>462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Morjaria, Sejal M./Medicine</dc:creator>
  <cp:keywords/>
  <dc:description/>
  <cp:lastModifiedBy>Morjaria, Sejal M./Medicine</cp:lastModifiedBy>
  <cp:revision>2</cp:revision>
  <dcterms:created xsi:type="dcterms:W3CDTF">2020-04-21T15:29:00Z</dcterms:created>
  <dcterms:modified xsi:type="dcterms:W3CDTF">2020-04-21T15:29:00Z</dcterms:modified>
</cp:coreProperties>
</file>